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5 vom 11. September 2024</w:t>
      </w:r>
    </w:p>
    <w:p>
      <w:r>
        <w:t>VS Kantonsgericht, 2024-09-11, FR</w:t>
      </w:r>
    </w:p>
    <w:p>
      <w:r>
        <w:rPr>
          <w:b/>
        </w:rPr>
        <w:t xml:space="preserve">Quelle: </w:t>
      </w:r>
      <w:r>
        <w:t>https://mcp.opencaselaw.ch/entscheid/vs_gerichte_P1 24 5</w:t>
      </w:r>
    </w:p>
    <w:p>
      <w:r>
        <w:t>FR: VS_GERICHTE P1 24 5 du 11 septembre 2024</w:t>
      </w:r>
    </w:p>
    <w:p>
      <w:r>
        <w:t>IT: VS_GERICHTE P1 24 5 del 11 settembre 2024</w:t>
      </w:r>
    </w:p>
    <w:p>
      <w:pPr>
        <w:pStyle w:val="Heading2"/>
      </w:pPr>
      <w:r>
        <w:t>Regeste</w:t>
      </w:r>
    </w:p>
    <w:p>
      <w:r>
        <w:t>JUGPEN /21 P1 24 5 JUGEMENT DU 11 SEPTEMBRE 2024 Le juge du district de l'Entremont Pierre Gapany, juge ; Sean Larkin, greffier ad hoc en la cause Ministère public, représenté par Patrick Burkhalter, procureur St-Maurice contre X _________, prévenu (art. 19a al. 1 LStup)</w:t>
      </w:r>
    </w:p>
    <w:p>
      <w:pPr>
        <w:pStyle w:val="Heading2"/>
      </w:pPr>
      <w:r>
        <w:t>Erwägungen</w:t>
      </w:r>
    </w:p>
    <w:p>
      <w:r>
        <w:rPr>
          <w:b/>
        </w:rPr>
        <w:t>E. 1</w:t>
      </w:r>
    </w:p>
    <w:p>
      <w:r>
        <w:t>Le prévenu a été mis en accusation pour contravention à la loi fédérale sur les stupéfiants (art. 19a ch. 1 LStup).</w:t>
      </w:r>
    </w:p>
    <w:p>
      <w:r>
        <w:t>a) Sont considérés comme des produits stupéfiants, les substances et préparations qui engendrent une dépendance et qui ont des effets de type morphinique, cocaïnique ou cannabique, et celles qui sont fabriquées à partir de ces substances ou préparations ou qui ont un effet semblable à celles-ci (art. 2 let. a LStup). Le cannabis est un stupéfiant selon l’annexe 1 de l’art. 1 al. 2 let. a OTStup-DFI. Aux termes de l’art. 19 al. 1 let. a LStup, est puni d’une peine privative de liberté de trois au plus ou d’une peine pécuniaire celui qui, sans droit, cultive, fabrique ou produit de toute autre manière des stupéfiants. L’art. 19a ch. 1 LStup dispose que, quiconque, sans droit, consomme intentionnellement des stupéfiants ou commet une infraction à l’art. 19 pour sa propre consommation est passible d’une amende. Un simple aveu de consommation permet sans arbitraire de retenir l’existence de l’infraction (arrêt du Tribunal fédéral 6B_446/2019 du 5 juillet 2019, consid. 3). La culture de plants de chanvre dans le but d’en extraire des stupéfiants pour son propre usage tombe sous le coup de l’art. 19a LStup, ceci même en l’absence d’analyse du taux de THC des plants saisis (TC/NE, CPEN.2013.69 du 14 mai 2014, consid. 2).</w:t>
      </w:r>
    </w:p>
    <w:p>
      <w:r>
        <w:t>- 9 -</w:t>
      </w:r>
    </w:p>
    <w:p>
      <w:r>
        <w:t>b) En l’occurrence, le prévenu a admis fumer régulièrement du cannabis depuis des années. La police en a trouvé huit plants dans le jardin du prévenu qui a admis les destiner à sa consommation et qu’en attendant de pouvoir les récolter, il achetait le cannabis qu’il consommait. Le tribunal a retenu qu’à cette même fin d’assurer sa consommation personnelle, le prévenu avait par ailleurs débuté chez lui la culture de plus d’une centaine de boutures de chanvre. Le fait qu’aucune analyse du taux de THC n’ait été effectuée ne saurait faire obstacle à la réalisation de l’infraction, dans la mesure où le prévenu avait précisément pour objectif d’extraire des stupéfiants des plants afin de subvenir à ses besoins de consommation. Au vu ce qui précède, le comportement du prévenu correspond à tous les éléments objectifs et subjectifs de l’infraction de contravention à la loi fédérale sur les stupéfiants (art. 19a ch. 1 LStup), étant précisé que les actes antérieurs au 11 septembre 2021 ne sont pas punissables en raison de la prescription de l’action pénale qui est de trois ans pour les contraventions (art. 109 CP).</w:t>
      </w:r>
    </w:p>
    <w:p>
      <w:r>
        <w:rPr>
          <w:b/>
        </w:rPr>
        <w:t>E. 2</w:t>
      </w:r>
    </w:p>
    <w:p>
      <w:r>
        <w:t>a) Les contraventions sont passibles d’une amende (art. 103 CP). Les dispositions sur le sursis et le sursis partiel ne s’appliquent pas en cas de contravention (art. 105 al. 1 CP) Sauf disposition contraire de la loi, le montant maximum de l’amende est de 10'000 fr.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Les critères généraux de l’art. 47 CP sont applicables pour déterminer la faute de l’auteur. La « situation de l’auteur » est avant tout une référence à la situation financière (HEIMGARTNER, Commentaire bâlois, 2e éd., n. 21 s. ad art. 106 CP ; JEANNERET, Commentaire romand, n. 5 s. ad art. 106 CP).</w:t>
      </w:r>
    </w:p>
    <w:p>
      <w:r>
        <w:t>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w:t>
      </w:r>
    </w:p>
    <w:p>
      <w:r>
        <w:t>- 10 - familiales, situation professionnelle, risque de récidive, etc.), la vulnérabilité face à la peine, de même que le comportement après l'acte et au cours de la procédure pénale (ATF 141 IV 6 consid. 6.1.1 p. 66 s). Le juge doit aussi, cas échéant, prendre en considération les circonstances atténuantes particulières prévues par la loi (art. 48 CP) et la circonstance aggravante du concours (art. 49 al. 1 CP). b) En l’occurrence, le comportement du prévenu est – objectivement et subjectivement – peu grave. Sa collaboration à l’enquête a été correcte et sa situation personnelle n’appelle pas de commentaire particulier, ne justifiant en tout cas pas le prononcé d’une peine inférieure à sa culpabilité. Quant à l’absence d’antécédents pénaux, elle est neutre du point de vue de la fixation de la peine. Il convient par ailleurs de tenir compte de la situation financière très modeste du prévenu, même si celle-ci semble assez largement résulter de ses propres choix de vie. Dans ces circonstances, une amende de 300 fr. apparaît adéquate pour sanctionner l’infraction commise. Au cas où, de manière fautive, le condamné ne payerait pas cette amende, la peine privative de liberté de substitution est arrêtée à 3 jours (RVJ 2008 p. 226).</w:t>
      </w:r>
    </w:p>
    <w:p>
      <w:r>
        <w:rPr>
          <w:b/>
        </w:rPr>
        <w:t>E. 3</w:t>
      </w:r>
    </w:p>
    <w:p>
      <w:r>
        <w:t>a)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139 IV 143 consid. 3.3.1).</w:t>
      </w:r>
    </w:p>
    <w:p>
      <w:r>
        <w:t>b) En l’occurrence, une des lampes séquestrées a effectivement servi à favoriser la croissance de 103 plantons cannabis dans une cabine de douche. Le reste du matériel séquestré était destiné à poursuivre cette culture intérieure, dans le but d’en extraire des stupéfiants. Cela étant, le prévenu est un consommateur régulier de cannabis, une partie de sa consommation était assurée par sa propre production de huit plants de chanvre qui poussaient dans son jardin et il s’était déjà essayé, par le passé, à la culture « indoor ». Ces circonstances donnent sérieusement à penser que si le matériel était restitué au prévenu, celui-ci l’utiliserait pour produire des stupéfiants, ce qui</w:t>
      </w:r>
    </w:p>
    <w:p>
      <w:r>
        <w:t>- 11 - compromettrait l’ordre public. La seule mesure apte à l’empêcher est de confisquer ce matériel pour qu’il soit détruit.</w:t>
      </w:r>
    </w:p>
    <w:p>
      <w:r>
        <w:rPr>
          <w:b/>
        </w:rPr>
        <w:t>E. 4</w:t>
      </w:r>
    </w:p>
    <w:p>
      <w:r>
        <w:t>Les frais de procédure, arrêtés à 1'019 fr. 70 (ministère public : 619 fr. 70 ; tribunal de district : 400 fr.) sont mis à la charge de X _________ qui supporte les dépenses liées à l’exercice de ses droits de procédure. Sembrancher, le 11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